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 23.06.2025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2B086C">
        <w:rPr>
          <w:rFonts w:ascii="Times New Roman" w:hAnsi="Times New Roman" w:cs="Times New Roman"/>
          <w:b/>
          <w:sz w:val="28"/>
          <w:szCs w:val="28"/>
        </w:rPr>
        <w:t>auditor</w:t>
      </w:r>
      <w:r w:rsidR="004B6297">
        <w:rPr>
          <w:rFonts w:ascii="Times New Roman" w:hAnsi="Times New Roman" w:cs="Times New Roman"/>
          <w:b/>
          <w:sz w:val="28"/>
          <w:szCs w:val="28"/>
        </w:rPr>
        <w:t xml:space="preserve"> public </w:t>
      </w:r>
      <w:r w:rsidR="002B086C">
        <w:rPr>
          <w:rFonts w:ascii="Times New Roman" w:hAnsi="Times New Roman" w:cs="Times New Roman"/>
          <w:b/>
          <w:sz w:val="28"/>
          <w:szCs w:val="28"/>
        </w:rPr>
        <w:t>intern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B6297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>uditor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public 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0A2061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Expert achizitii publice Curea Robert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2025-05-23T08:38:00Z</cp:lastPrinted>
  <dcterms:created xsi:type="dcterms:W3CDTF">2025-05-23T08:39:00Z</dcterms:created>
  <dcterms:modified xsi:type="dcterms:W3CDTF">2025-06-23T09:14:00Z</dcterms:modified>
</cp:coreProperties>
</file>